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w:t>
      </w:r>
      <w:r>
        <w:rPr>
          <w:rFonts w:hint="eastAsia" w:ascii="仿宋" w:hAnsi="仿宋" w:eastAsia="仿宋" w:cs="Arial"/>
          <w:color w:val="auto"/>
          <w:sz w:val="32"/>
          <w:szCs w:val="32"/>
          <w:lang w:eastAsia="zh-CN"/>
        </w:rPr>
        <w:t>博罗产业转移工业园管理委员会</w:t>
      </w:r>
      <w:r>
        <w:rPr>
          <w:rFonts w:hint="eastAsia" w:ascii="仿宋_GB2312" w:hAnsi="仿宋_GB2312" w:eastAsia="仿宋_GB2312" w:cs="仿宋_GB2312"/>
          <w:color w:val="333333"/>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 w:hAnsi="仿宋" w:eastAsia="仿宋" w:cs="Arial"/>
          <w:color w:val="auto"/>
          <w:sz w:val="32"/>
          <w:szCs w:val="32"/>
        </w:rPr>
        <w:br w:type="textWrapping"/>
      </w: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333333"/>
          <w:sz w:val="32"/>
          <w:szCs w:val="32"/>
          <w:u w:val="single"/>
        </w:rPr>
        <w:t>博自然资（用地）挂字〔</w:t>
      </w:r>
      <w:r>
        <w:rPr>
          <w:rFonts w:ascii="仿宋" w:hAnsi="仿宋" w:eastAsia="仿宋" w:cs="Arial"/>
          <w:color w:val="333333"/>
          <w:sz w:val="32"/>
          <w:szCs w:val="32"/>
          <w:u w:val="single"/>
        </w:rPr>
        <w:t>202</w:t>
      </w:r>
      <w:r>
        <w:rPr>
          <w:rFonts w:hint="eastAsia" w:ascii="仿宋" w:hAnsi="仿宋" w:eastAsia="仿宋" w:cs="Arial"/>
          <w:color w:val="333333"/>
          <w:sz w:val="32"/>
          <w:szCs w:val="32"/>
          <w:u w:val="single"/>
          <w:lang w:val="en-US" w:eastAsia="zh-CN"/>
        </w:rPr>
        <w:t>2</w:t>
      </w:r>
      <w:r>
        <w:rPr>
          <w:rFonts w:hint="eastAsia" w:ascii="仿宋" w:hAnsi="仿宋" w:eastAsia="仿宋" w:cs="Arial"/>
          <w:color w:val="333333"/>
          <w:sz w:val="32"/>
          <w:szCs w:val="32"/>
          <w:u w:val="single"/>
        </w:rPr>
        <w:t>〕</w:t>
      </w:r>
      <w:r>
        <w:rPr>
          <w:rFonts w:hint="eastAsia" w:ascii="仿宋" w:hAnsi="仿宋" w:eastAsia="仿宋" w:cs="Arial"/>
          <w:color w:val="333333"/>
          <w:sz w:val="32"/>
          <w:szCs w:val="32"/>
          <w:u w:val="single"/>
          <w:lang w:val="en-US" w:eastAsia="zh-CN"/>
        </w:rPr>
        <w:t>7</w:t>
      </w:r>
      <w:r>
        <w:rPr>
          <w:rFonts w:ascii="仿宋" w:hAnsi="仿宋" w:eastAsia="仿宋" w:cs="Arial"/>
          <w:color w:val="333333"/>
          <w:sz w:val="32"/>
          <w:szCs w:val="32"/>
          <w:u w:val="single"/>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hint="eastAsia" w:ascii="仿宋" w:hAnsi="仿宋" w:eastAsia="仿宋" w:cs="Arial"/>
          <w:color w:val="auto"/>
          <w:sz w:val="32"/>
          <w:szCs w:val="32"/>
          <w:u w:val="single"/>
          <w:lang w:eastAsia="zh-CN"/>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 w:hAnsi="仿宋" w:eastAsia="仿宋" w:cs="Arial"/>
          <w:color w:val="auto"/>
          <w:sz w:val="32"/>
          <w:szCs w:val="32"/>
          <w:u w:val="single"/>
          <w:lang w:eastAsia="zh-CN"/>
        </w:rPr>
        <w:t>智能充电器、充电桩、换电柜、高端车架的研发、设计、生产、销售。</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24 </w:t>
      </w:r>
      <w:r>
        <w:rPr>
          <w:rFonts w:hint="eastAsia" w:ascii="仿宋" w:hAnsi="仿宋" w:eastAsia="仿宋" w:cs="Arial"/>
          <w:color w:val="auto"/>
          <w:sz w:val="32"/>
          <w:szCs w:val="32"/>
          <w:u w:val="none"/>
          <w:lang w:val="en-US" w:eastAsia="zh-CN"/>
        </w:rPr>
        <w:t>个月内全部建成并投入运营</w:t>
      </w:r>
      <w:r>
        <w:rPr>
          <w:rFonts w:hint="eastAsia" w:ascii="仿宋" w:hAnsi="仿宋" w:eastAsia="仿宋" w:cs="Arial"/>
          <w:color w:val="auto"/>
          <w:sz w:val="32"/>
          <w:szCs w:val="32"/>
          <w:u w:val="none"/>
        </w:rPr>
        <w:t>，</w:t>
      </w:r>
      <w:r>
        <w:rPr>
          <w:rFonts w:hint="eastAsia" w:ascii="仿宋" w:hAnsi="仿宋" w:eastAsia="仿宋" w:cs="Arial"/>
          <w:color w:val="auto"/>
          <w:sz w:val="32"/>
          <w:szCs w:val="32"/>
          <w:u w:val="none"/>
          <w:lang w:val="en-US" w:eastAsia="zh-CN"/>
        </w:rPr>
        <w:t>并于投入运营之日起开始计算考核指标，</w:t>
      </w:r>
      <w:r>
        <w:rPr>
          <w:rFonts w:hint="eastAsia" w:ascii="仿宋" w:hAnsi="仿宋" w:eastAsia="仿宋" w:cs="Arial"/>
          <w:color w:val="auto"/>
          <w:sz w:val="32"/>
          <w:szCs w:val="32"/>
        </w:rPr>
        <w:t>正式投产之日起</w:t>
      </w:r>
      <w:r>
        <w:rPr>
          <w:rFonts w:hint="eastAsia" w:ascii="仿宋" w:hAnsi="仿宋" w:eastAsia="仿宋" w:cs="Arial"/>
          <w:color w:val="auto"/>
          <w:sz w:val="32"/>
          <w:szCs w:val="32"/>
          <w:u w:val="single"/>
          <w:lang w:val="en-US" w:eastAsia="zh-CN"/>
        </w:rPr>
        <w:t xml:space="preserve"> 24</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w:t>
      </w:r>
      <w:r>
        <w:rPr>
          <w:rFonts w:hint="eastAsia" w:ascii="仿宋" w:hAnsi="仿宋" w:eastAsia="仿宋" w:cs="Arial"/>
          <w:color w:val="auto"/>
          <w:sz w:val="32"/>
          <w:szCs w:val="32"/>
        </w:rPr>
        <w:t>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3.乙方项目宗地面积为</w:t>
      </w:r>
      <w:r>
        <w:rPr>
          <w:rFonts w:hint="eastAsia" w:ascii="仿宋" w:hAnsi="仿宋" w:eastAsia="仿宋" w:cs="Arial"/>
          <w:color w:val="auto"/>
          <w:sz w:val="32"/>
          <w:szCs w:val="32"/>
          <w:u w:val="single"/>
          <w:lang w:val="en-US" w:eastAsia="zh-CN"/>
        </w:rPr>
        <w:t xml:space="preserve"> 23335 </w:t>
      </w:r>
      <w:r>
        <w:rPr>
          <w:rFonts w:hint="eastAsia" w:ascii="仿宋" w:hAnsi="仿宋" w:eastAsia="仿宋" w:cs="Arial"/>
          <w:color w:val="auto"/>
          <w:sz w:val="32"/>
          <w:szCs w:val="32"/>
          <w:u w:val="none"/>
          <w:lang w:val="en-US" w:eastAsia="zh-CN"/>
        </w:rPr>
        <w:t>平方米</w:t>
      </w:r>
      <w:r>
        <w:rPr>
          <w:rFonts w:hint="eastAsia" w:ascii="仿宋" w:hAnsi="仿宋" w:eastAsia="仿宋" w:cs="Arial"/>
          <w:color w:val="auto"/>
          <w:sz w:val="32"/>
          <w:szCs w:val="32"/>
        </w:rPr>
        <w:t>，容积率</w:t>
      </w:r>
      <w:r>
        <w:rPr>
          <w:rFonts w:hint="eastAsia" w:ascii="仿宋" w:hAnsi="仿宋" w:eastAsia="仿宋" w:cs="Arial"/>
          <w:color w:val="auto"/>
          <w:sz w:val="32"/>
          <w:szCs w:val="32"/>
          <w:u w:val="single"/>
          <w:lang w:val="en-US" w:eastAsia="zh-CN"/>
        </w:rPr>
        <w:t xml:space="preserve"> 2.0-3.0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2.5</w:t>
      </w:r>
      <w:r>
        <w:rPr>
          <w:rFonts w:hint="eastAsia" w:ascii="仿宋" w:hAnsi="仿宋" w:eastAsia="仿宋" w:cs="Arial"/>
          <w:color w:val="auto"/>
          <w:sz w:val="32"/>
          <w:szCs w:val="32"/>
          <w:highlight w:val="none"/>
          <w:u w:val="single"/>
          <w:lang w:val="en-US" w:eastAsia="zh-CN"/>
        </w:rPr>
        <w:t xml:space="preserve"> </w:t>
      </w:r>
      <w:r>
        <w:rPr>
          <w:rFonts w:hint="eastAsia" w:ascii="仿宋" w:hAnsi="仿宋" w:eastAsia="仿宋" w:cs="Arial"/>
          <w:color w:val="auto"/>
          <w:sz w:val="32"/>
          <w:szCs w:val="32"/>
          <w:highlight w:val="none"/>
          <w:u w:val="none"/>
          <w:lang w:val="en-US" w:eastAsia="zh-CN"/>
        </w:rPr>
        <w:t>亿元</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。乙方承诺：项目达产后，可实现</w:t>
      </w:r>
      <w:r>
        <w:rPr>
          <w:rFonts w:hint="eastAsia" w:ascii="仿宋" w:hAnsi="仿宋" w:eastAsia="仿宋" w:cs="Arial"/>
          <w:color w:val="auto"/>
          <w:sz w:val="32"/>
          <w:szCs w:val="32"/>
          <w:highlight w:val="none"/>
          <w:lang w:val="en-US" w:eastAsia="zh-CN"/>
        </w:rPr>
        <w:t>年产值不低于</w:t>
      </w:r>
      <w:r>
        <w:rPr>
          <w:rFonts w:hint="eastAsia" w:ascii="仿宋" w:hAnsi="仿宋" w:eastAsia="仿宋" w:cs="Arial"/>
          <w:color w:val="auto"/>
          <w:sz w:val="32"/>
          <w:szCs w:val="32"/>
          <w:highlight w:val="none"/>
          <w:u w:val="single"/>
          <w:lang w:val="en-US" w:eastAsia="zh-CN"/>
        </w:rPr>
        <w:t xml:space="preserve"> 1200</w:t>
      </w:r>
      <w:r>
        <w:rPr>
          <w:rFonts w:hint="eastAsia" w:ascii="仿宋" w:hAnsi="仿宋" w:eastAsia="仿宋" w:cs="Arial"/>
          <w:color w:val="auto"/>
          <w:sz w:val="32"/>
          <w:szCs w:val="32"/>
          <w:highlight w:val="none"/>
          <w:u w:val="none"/>
          <w:lang w:val="en-US" w:eastAsia="zh-CN"/>
        </w:rPr>
        <w:t>万元/亩</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固定资产投资强度不低于</w:t>
      </w:r>
      <w:r>
        <w:rPr>
          <w:rFonts w:hint="eastAsia" w:ascii="仿宋" w:hAnsi="仿宋" w:eastAsia="仿宋" w:cs="Arial"/>
          <w:color w:val="auto"/>
          <w:sz w:val="32"/>
          <w:szCs w:val="32"/>
          <w:highlight w:val="none"/>
          <w:u w:val="single"/>
          <w:lang w:val="en-US" w:eastAsia="zh-CN"/>
        </w:rPr>
        <w:t>600</w:t>
      </w:r>
      <w:r>
        <w:rPr>
          <w:rFonts w:hint="eastAsia" w:ascii="仿宋" w:hAnsi="仿宋" w:eastAsia="仿宋" w:cs="Arial"/>
          <w:color w:val="auto"/>
          <w:sz w:val="32"/>
          <w:szCs w:val="32"/>
          <w:highlight w:val="none"/>
          <w:u w:val="none"/>
          <w:lang w:val="en-US" w:eastAsia="zh-CN"/>
        </w:rPr>
        <w:t>万</w:t>
      </w:r>
      <w:r>
        <w:rPr>
          <w:rFonts w:hint="eastAsia" w:ascii="仿宋" w:hAnsi="仿宋" w:eastAsia="仿宋" w:cs="Arial"/>
          <w:color w:val="auto"/>
          <w:sz w:val="32"/>
          <w:szCs w:val="32"/>
          <w:u w:val="none"/>
          <w:lang w:val="en-US" w:eastAsia="zh-CN"/>
        </w:rPr>
        <w:t>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50</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val="en-US" w:eastAsia="zh-CN"/>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w:t>
      </w:r>
      <w:bookmarkStart w:id="0" w:name="_GoBack"/>
      <w:bookmarkEnd w:id="0"/>
      <w:r>
        <w:rPr>
          <w:rFonts w:hint="eastAsia" w:ascii="仿宋" w:hAnsi="仿宋" w:eastAsia="仿宋" w:cs="Arial"/>
          <w:color w:val="auto"/>
          <w:sz w:val="32"/>
          <w:szCs w:val="32"/>
        </w:rPr>
        <w:t>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pStyle w:val="2"/>
        <w:rPr>
          <w:rFonts w:hint="eastAsia" w:ascii="仿宋" w:hAnsi="仿宋" w:eastAsia="仿宋" w:cs="Arial"/>
          <w:color w:val="auto"/>
          <w:sz w:val="32"/>
          <w:szCs w:val="32"/>
        </w:rPr>
      </w:pPr>
    </w:p>
    <w:p>
      <w:pPr>
        <w:pStyle w:val="2"/>
        <w:rPr>
          <w:rFonts w:hint="eastAsia" w:ascii="仿宋" w:hAnsi="仿宋" w:eastAsia="仿宋" w:cs="Arial"/>
          <w:color w:val="auto"/>
          <w:sz w:val="32"/>
          <w:szCs w:val="32"/>
        </w:rPr>
      </w:pPr>
    </w:p>
    <w:p>
      <w:pPr>
        <w:pStyle w:val="2"/>
        <w:rPr>
          <w:rFonts w:hint="eastAsia" w:ascii="仿宋" w:hAnsi="仿宋" w:eastAsia="仿宋" w:cs="Arial"/>
          <w:color w:val="auto"/>
          <w:sz w:val="32"/>
          <w:szCs w:val="32"/>
          <w:lang w:eastAsia="zh-CN"/>
        </w:rPr>
      </w:pPr>
    </w:p>
    <w:p>
      <w:pPr>
        <w:pStyle w:val="2"/>
        <w:rPr>
          <w:rFonts w:hint="eastAsia" w:ascii="仿宋" w:hAnsi="仿宋" w:eastAsia="仿宋" w:cs="Arial"/>
          <w:color w:val="auto"/>
          <w:sz w:val="32"/>
          <w:szCs w:val="32"/>
          <w:lang w:eastAsia="zh-CN"/>
        </w:rPr>
      </w:pPr>
    </w:p>
    <w:p>
      <w:pPr>
        <w:pStyle w:val="2"/>
        <w:rPr>
          <w:rFonts w:hint="eastAsia" w:ascii="仿宋" w:hAnsi="仿宋" w:eastAsia="仿宋" w:cs="Arial"/>
          <w:color w:val="auto"/>
          <w:sz w:val="32"/>
          <w:szCs w:val="32"/>
          <w:lang w:eastAsia="zh-CN"/>
        </w:rPr>
      </w:pP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签署页</w:t>
      </w:r>
      <w:r>
        <w:rPr>
          <w:rFonts w:hint="eastAsia" w:ascii="仿宋" w:hAnsi="仿宋" w:eastAsia="仿宋" w:cs="Arial"/>
          <w:color w:val="auto"/>
          <w:sz w:val="32"/>
          <w:szCs w:val="32"/>
          <w:lang w:eastAsia="zh-CN"/>
        </w:rPr>
        <w:t>）</w:t>
      </w:r>
    </w:p>
    <w:p>
      <w:pPr>
        <w:pStyle w:val="2"/>
        <w:rPr>
          <w:rFonts w:hint="eastAsia" w:ascii="仿宋" w:hAnsi="仿宋" w:eastAsia="仿宋" w:cs="Arial"/>
          <w:color w:val="auto"/>
          <w:sz w:val="32"/>
          <w:szCs w:val="32"/>
          <w:lang w:eastAsia="zh-CN"/>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9A345A"/>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3B86A75"/>
    <w:rsid w:val="04853F9C"/>
    <w:rsid w:val="06C37244"/>
    <w:rsid w:val="087C55E5"/>
    <w:rsid w:val="089260C7"/>
    <w:rsid w:val="09153D40"/>
    <w:rsid w:val="09B6085E"/>
    <w:rsid w:val="0AA57B61"/>
    <w:rsid w:val="0C742940"/>
    <w:rsid w:val="0D096354"/>
    <w:rsid w:val="0F605FF0"/>
    <w:rsid w:val="0F7647B4"/>
    <w:rsid w:val="109F32A2"/>
    <w:rsid w:val="10D90D96"/>
    <w:rsid w:val="10FB725B"/>
    <w:rsid w:val="11A96F5F"/>
    <w:rsid w:val="12FC44E0"/>
    <w:rsid w:val="13225CD9"/>
    <w:rsid w:val="13543CBB"/>
    <w:rsid w:val="159D123F"/>
    <w:rsid w:val="16273163"/>
    <w:rsid w:val="16284AA0"/>
    <w:rsid w:val="174E545D"/>
    <w:rsid w:val="17C202D9"/>
    <w:rsid w:val="17EA34F9"/>
    <w:rsid w:val="18031C72"/>
    <w:rsid w:val="18867AFC"/>
    <w:rsid w:val="19354D94"/>
    <w:rsid w:val="19807458"/>
    <w:rsid w:val="19D062B4"/>
    <w:rsid w:val="1B9548CD"/>
    <w:rsid w:val="1BB0704B"/>
    <w:rsid w:val="1C317426"/>
    <w:rsid w:val="1CCB1518"/>
    <w:rsid w:val="1D5D4A42"/>
    <w:rsid w:val="1DAC6A68"/>
    <w:rsid w:val="1DBA6C45"/>
    <w:rsid w:val="1E845EB8"/>
    <w:rsid w:val="20934BA0"/>
    <w:rsid w:val="20BE64D5"/>
    <w:rsid w:val="21BB3A04"/>
    <w:rsid w:val="21D45B24"/>
    <w:rsid w:val="223932CB"/>
    <w:rsid w:val="25145B3D"/>
    <w:rsid w:val="251D7E5E"/>
    <w:rsid w:val="252D4D26"/>
    <w:rsid w:val="26161966"/>
    <w:rsid w:val="26B22A7B"/>
    <w:rsid w:val="27AF36EA"/>
    <w:rsid w:val="28B50087"/>
    <w:rsid w:val="29CF60A3"/>
    <w:rsid w:val="2A82618E"/>
    <w:rsid w:val="2AAD53F3"/>
    <w:rsid w:val="2AD47A11"/>
    <w:rsid w:val="2B090704"/>
    <w:rsid w:val="2C3B26C9"/>
    <w:rsid w:val="2C5509C3"/>
    <w:rsid w:val="2CD3170B"/>
    <w:rsid w:val="2CF772A7"/>
    <w:rsid w:val="2D770135"/>
    <w:rsid w:val="2DC379C3"/>
    <w:rsid w:val="300E48DB"/>
    <w:rsid w:val="31526B7D"/>
    <w:rsid w:val="31DF65D9"/>
    <w:rsid w:val="323245A1"/>
    <w:rsid w:val="33587888"/>
    <w:rsid w:val="33F0055A"/>
    <w:rsid w:val="364A2A2C"/>
    <w:rsid w:val="3708183A"/>
    <w:rsid w:val="38501441"/>
    <w:rsid w:val="3970453B"/>
    <w:rsid w:val="39D13E6C"/>
    <w:rsid w:val="3B5D31DA"/>
    <w:rsid w:val="3BEA777F"/>
    <w:rsid w:val="3C5D7BC2"/>
    <w:rsid w:val="3C6D586A"/>
    <w:rsid w:val="3D9271F1"/>
    <w:rsid w:val="3DCD559A"/>
    <w:rsid w:val="3E443641"/>
    <w:rsid w:val="3E4671B3"/>
    <w:rsid w:val="3EFE4213"/>
    <w:rsid w:val="3FB2071B"/>
    <w:rsid w:val="402801FE"/>
    <w:rsid w:val="402A1091"/>
    <w:rsid w:val="407556BD"/>
    <w:rsid w:val="41A30980"/>
    <w:rsid w:val="41BC39F2"/>
    <w:rsid w:val="42C27889"/>
    <w:rsid w:val="43F67581"/>
    <w:rsid w:val="44CA3F18"/>
    <w:rsid w:val="45522466"/>
    <w:rsid w:val="4553280D"/>
    <w:rsid w:val="45DE4434"/>
    <w:rsid w:val="461D0AA5"/>
    <w:rsid w:val="47AC4FA4"/>
    <w:rsid w:val="487B755A"/>
    <w:rsid w:val="488B7004"/>
    <w:rsid w:val="48CE3CD8"/>
    <w:rsid w:val="4A304FB5"/>
    <w:rsid w:val="4A834031"/>
    <w:rsid w:val="4AD13B46"/>
    <w:rsid w:val="4B373F9C"/>
    <w:rsid w:val="4B7E784A"/>
    <w:rsid w:val="4B9C37F4"/>
    <w:rsid w:val="4BC27CD0"/>
    <w:rsid w:val="4BC351AD"/>
    <w:rsid w:val="4BC64786"/>
    <w:rsid w:val="4BDB2055"/>
    <w:rsid w:val="4D485F97"/>
    <w:rsid w:val="4D75779A"/>
    <w:rsid w:val="4D7B48EE"/>
    <w:rsid w:val="4DF8389B"/>
    <w:rsid w:val="4EB77D91"/>
    <w:rsid w:val="4F775327"/>
    <w:rsid w:val="50962D6F"/>
    <w:rsid w:val="51122302"/>
    <w:rsid w:val="51F75E40"/>
    <w:rsid w:val="52372BF4"/>
    <w:rsid w:val="5261625A"/>
    <w:rsid w:val="5291085E"/>
    <w:rsid w:val="5303680F"/>
    <w:rsid w:val="53C35F43"/>
    <w:rsid w:val="544C5A47"/>
    <w:rsid w:val="54C74F93"/>
    <w:rsid w:val="55762B82"/>
    <w:rsid w:val="568A688B"/>
    <w:rsid w:val="56D30DAA"/>
    <w:rsid w:val="56E036DE"/>
    <w:rsid w:val="57371331"/>
    <w:rsid w:val="589457E3"/>
    <w:rsid w:val="58E65369"/>
    <w:rsid w:val="594B17F2"/>
    <w:rsid w:val="59C040A4"/>
    <w:rsid w:val="5AB858F2"/>
    <w:rsid w:val="5B7C42D7"/>
    <w:rsid w:val="5C881555"/>
    <w:rsid w:val="5C970D98"/>
    <w:rsid w:val="5CF32F48"/>
    <w:rsid w:val="5CFF157D"/>
    <w:rsid w:val="5E5F6A0E"/>
    <w:rsid w:val="5E8E54B9"/>
    <w:rsid w:val="5EDB70DB"/>
    <w:rsid w:val="5FE00A07"/>
    <w:rsid w:val="60642E27"/>
    <w:rsid w:val="615A6F19"/>
    <w:rsid w:val="61871CC8"/>
    <w:rsid w:val="640D1C21"/>
    <w:rsid w:val="641810B4"/>
    <w:rsid w:val="64397DDA"/>
    <w:rsid w:val="64682F94"/>
    <w:rsid w:val="64C8719F"/>
    <w:rsid w:val="65017FD4"/>
    <w:rsid w:val="65A213B1"/>
    <w:rsid w:val="672236A1"/>
    <w:rsid w:val="68D0020D"/>
    <w:rsid w:val="696172FA"/>
    <w:rsid w:val="696276C9"/>
    <w:rsid w:val="696778D4"/>
    <w:rsid w:val="6AEF79A2"/>
    <w:rsid w:val="6C8211A2"/>
    <w:rsid w:val="6CAB7FCE"/>
    <w:rsid w:val="6D5D3EB9"/>
    <w:rsid w:val="6D9B6FB7"/>
    <w:rsid w:val="6E47422A"/>
    <w:rsid w:val="6EC41E14"/>
    <w:rsid w:val="6F522F8D"/>
    <w:rsid w:val="6FAB59F3"/>
    <w:rsid w:val="70492E6B"/>
    <w:rsid w:val="707428FE"/>
    <w:rsid w:val="70CC701F"/>
    <w:rsid w:val="71535DA0"/>
    <w:rsid w:val="71664424"/>
    <w:rsid w:val="722849DA"/>
    <w:rsid w:val="726309DB"/>
    <w:rsid w:val="74CD52B0"/>
    <w:rsid w:val="75722252"/>
    <w:rsid w:val="76606B4D"/>
    <w:rsid w:val="76876E6B"/>
    <w:rsid w:val="77440DBC"/>
    <w:rsid w:val="78B36EFA"/>
    <w:rsid w:val="78DF2DF3"/>
    <w:rsid w:val="7B2B5738"/>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11</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2022-04-15T01:01:00Z</cp:lastPrinted>
  <dcterms:modified xsi:type="dcterms:W3CDTF">2022-04-27T01:12:42Z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